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44"/>
        <w:spacing w:before="184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43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4"/>
        </w:rPr>
        <w:t>1</w:t>
      </w:r>
    </w:p>
    <w:p>
      <w:pPr>
        <w:ind w:left="1540"/>
        <w:spacing w:before="309" w:line="214" w:lineRule="auto"/>
        <w:outlineLvl w:val="0"/>
        <w:rPr>
          <w:rFonts w:ascii="FZXiaoBiaoSong-B05S" w:hAnsi="FZXiaoBiaoSong-B05S" w:eastAsia="FZXiaoBiaoSong-B05S" w:cs="FZXiaoBiaoSong-B05S"/>
          <w:sz w:val="43"/>
          <w:szCs w:val="43"/>
        </w:rPr>
      </w:pPr>
      <w:r>
        <w:rPr>
          <w:rFonts w:ascii="FZXiaoBiaoSong-B05S" w:hAnsi="FZXiaoBiaoSong-B05S" w:eastAsia="FZXiaoBiaoSong-B05S" w:cs="FZXiaoBiaoSong-B05S"/>
          <w:sz w:val="43"/>
          <w:szCs w:val="43"/>
          <w:spacing w:val="8"/>
        </w:rPr>
        <w:t>宣砚地理标志产品保护要求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ind w:left="672"/>
        <w:spacing w:before="100" w:line="224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一、地理标志产品名称</w:t>
      </w:r>
    </w:p>
    <w:p>
      <w:pPr>
        <w:pStyle w:val="BodyText"/>
        <w:ind w:left="685"/>
        <w:spacing w:before="182" w:line="223" w:lineRule="auto"/>
        <w:rPr/>
      </w:pPr>
      <w:r>
        <w:rPr>
          <w:spacing w:val="-16"/>
        </w:rPr>
        <w:t>宣砚。</w:t>
      </w:r>
    </w:p>
    <w:p>
      <w:pPr>
        <w:ind w:left="672"/>
        <w:spacing w:before="185" w:line="225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二、申请机构</w:t>
      </w:r>
    </w:p>
    <w:p>
      <w:pPr>
        <w:pStyle w:val="BodyText"/>
        <w:ind w:left="675"/>
        <w:spacing w:before="184" w:line="220" w:lineRule="auto"/>
        <w:rPr/>
      </w:pPr>
      <w:r>
        <w:rPr>
          <w:spacing w:val="4"/>
        </w:rPr>
        <w:t>安徽省宣城市旌德县人民政府。</w:t>
      </w:r>
    </w:p>
    <w:p>
      <w:pPr>
        <w:ind w:left="674"/>
        <w:spacing w:before="189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三、产地范围</w:t>
      </w:r>
    </w:p>
    <w:p>
      <w:pPr>
        <w:pStyle w:val="BodyText"/>
        <w:ind w:left="675"/>
        <w:spacing w:before="180" w:line="220" w:lineRule="auto"/>
        <w:rPr/>
      </w:pPr>
      <w:r>
        <w:rPr>
          <w:spacing w:val="7"/>
        </w:rPr>
        <w:t>安徽省宣城市旌德县现辖行政区域。</w:t>
      </w:r>
    </w:p>
    <w:p>
      <w:pPr>
        <w:ind w:left="686"/>
        <w:spacing w:before="192" w:line="225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四、质量要求</w:t>
      </w:r>
    </w:p>
    <w:p>
      <w:pPr>
        <w:ind w:left="693"/>
        <w:spacing w:before="182" w:line="224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3"/>
        </w:rPr>
        <w:t>（一）原料要求</w:t>
      </w:r>
    </w:p>
    <w:p>
      <w:pPr>
        <w:pStyle w:val="BodyText"/>
        <w:ind w:left="32" w:right="77" w:firstLine="660"/>
        <w:spacing w:before="181" w:line="302" w:lineRule="auto"/>
        <w:rPr/>
      </w:pPr>
      <w:r>
        <w:rPr>
          <w:rFonts w:ascii="Times New Roman" w:hAnsi="Times New Roman" w:eastAsia="Times New Roman" w:cs="Times New Roman"/>
          <w:spacing w:val="4"/>
        </w:rPr>
        <w:t>1.  </w:t>
      </w:r>
      <w:r>
        <w:rPr>
          <w:spacing w:val="4"/>
        </w:rPr>
        <w:t>原料产地。砚料出产于安徽省宣城市旌德县白地镇洪</w:t>
      </w:r>
      <w:r>
        <w:rPr>
          <w:spacing w:val="2"/>
        </w:rPr>
        <w:t>川村龙潭山脉，开采范围为东经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118°19′03″</w:t>
      </w:r>
      <w:r>
        <w:rPr>
          <w:spacing w:val="2"/>
        </w:rPr>
        <w:t>～</w:t>
      </w:r>
      <w:r>
        <w:rPr>
          <w:rFonts w:ascii="Times New Roman" w:hAnsi="Times New Roman" w:eastAsia="Times New Roman" w:cs="Times New Roman"/>
          <w:spacing w:val="2"/>
        </w:rPr>
        <w:t>118</w:t>
      </w:r>
      <w:r>
        <w:rPr>
          <w:rFonts w:ascii="Times New Roman" w:hAnsi="Times New Roman" w:eastAsia="Times New Roman" w:cs="Times New Roman"/>
          <w:spacing w:val="1"/>
        </w:rPr>
        <w:t>°19′59″</w:t>
      </w:r>
      <w:r>
        <w:rPr>
          <w:spacing w:val="1"/>
        </w:rPr>
        <w:t>，北</w:t>
      </w:r>
      <w:r>
        <w:rPr>
          <w:spacing w:val="1"/>
        </w:rPr>
        <w:t>纬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30°10′35″</w:t>
      </w:r>
      <w:r>
        <w:rPr>
          <w:rFonts w:ascii="Times New Roman" w:hAnsi="Times New Roman" w:eastAsia="Times New Roman" w:cs="Times New Roman"/>
          <w:spacing w:val="-52"/>
        </w:rPr>
        <w:t xml:space="preserve"> </w:t>
      </w:r>
      <w:r>
        <w:rPr>
          <w:spacing w:val="1"/>
        </w:rPr>
        <w:t>～</w:t>
      </w:r>
      <w:r>
        <w:rPr>
          <w:rFonts w:ascii="Times New Roman" w:hAnsi="Times New Roman" w:eastAsia="Times New Roman" w:cs="Times New Roman"/>
          <w:spacing w:val="1"/>
        </w:rPr>
        <w:t>30°11′28″</w:t>
      </w:r>
      <w:r>
        <w:rPr>
          <w:spacing w:val="1"/>
        </w:rPr>
        <w:t>。</w:t>
      </w:r>
    </w:p>
    <w:p>
      <w:pPr>
        <w:pStyle w:val="BodyText"/>
        <w:ind w:left="36" w:firstLine="625"/>
        <w:spacing w:before="161" w:line="305" w:lineRule="auto"/>
        <w:rPr/>
      </w:pPr>
      <w:r>
        <w:rPr>
          <w:rFonts w:ascii="Times New Roman" w:hAnsi="Times New Roman" w:eastAsia="Times New Roman" w:cs="Times New Roman"/>
          <w:spacing w:val="-7"/>
        </w:rPr>
        <w:t>2.  </w:t>
      </w:r>
      <w:r>
        <w:rPr>
          <w:spacing w:val="-7"/>
        </w:rPr>
        <w:t>原料特征。砚料为原生矿料，为泥质板岩，色泽青黑，</w:t>
      </w:r>
      <w:r>
        <w:rPr>
          <w:spacing w:val="8"/>
        </w:rPr>
        <w:t>呈油脂光泽和丝绢光泽，结构以鳞片变晶结构为主，其次为</w:t>
      </w:r>
      <w:r>
        <w:rPr>
          <w:spacing w:val="11"/>
        </w:rPr>
        <w:t>显微变余结构、镶嵌变晶结构，致密块状构造，质地均匀，</w:t>
      </w:r>
      <w:r>
        <w:rPr>
          <w:spacing w:val="3"/>
        </w:rPr>
        <w:t>无石筋石隔、无裂缝。</w:t>
      </w:r>
    </w:p>
    <w:p>
      <w:pPr>
        <w:ind w:left="693"/>
        <w:spacing w:before="193" w:line="227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3"/>
        </w:rPr>
        <w:t>（二）工艺流程</w:t>
      </w:r>
    </w:p>
    <w:p>
      <w:pPr>
        <w:pStyle w:val="BodyText"/>
        <w:ind w:left="677"/>
        <w:spacing w:before="178" w:line="234" w:lineRule="auto"/>
        <w:rPr/>
      </w:pPr>
      <w:r>
        <w:rPr>
          <w:spacing w:val="5"/>
        </w:rPr>
        <w:t>开采</w:t>
      </w:r>
      <w:r>
        <w:rPr>
          <w:rFonts w:ascii="Times New Roman" w:hAnsi="Times New Roman" w:eastAsia="Times New Roman" w:cs="Times New Roman"/>
          <w:spacing w:val="5"/>
        </w:rPr>
        <w:t>→</w:t>
      </w:r>
      <w:r>
        <w:rPr>
          <w:spacing w:val="5"/>
        </w:rPr>
        <w:t>选料</w:t>
      </w:r>
      <w:r>
        <w:rPr>
          <w:rFonts w:ascii="Times New Roman" w:hAnsi="Times New Roman" w:eastAsia="Times New Roman" w:cs="Times New Roman"/>
          <w:spacing w:val="5"/>
        </w:rPr>
        <w:t>→</w:t>
      </w:r>
      <w:r>
        <w:rPr>
          <w:rFonts w:ascii="Times New Roman" w:hAnsi="Times New Roman" w:eastAsia="Times New Roman" w:cs="Times New Roman"/>
          <w:spacing w:val="-48"/>
        </w:rPr>
        <w:t xml:space="preserve"> </w:t>
      </w:r>
      <w:r>
        <w:rPr>
          <w:spacing w:val="5"/>
        </w:rPr>
        <w:t>制坯</w:t>
      </w:r>
      <w:r>
        <w:rPr>
          <w:rFonts w:ascii="Times New Roman" w:hAnsi="Times New Roman" w:eastAsia="Times New Roman" w:cs="Times New Roman"/>
          <w:spacing w:val="5"/>
        </w:rPr>
        <w:t>→</w:t>
      </w:r>
      <w:r>
        <w:rPr>
          <w:spacing w:val="5"/>
        </w:rPr>
        <w:t>雕刻</w:t>
      </w:r>
      <w:r>
        <w:rPr>
          <w:rFonts w:ascii="Times New Roman" w:hAnsi="Times New Roman" w:eastAsia="Times New Roman" w:cs="Times New Roman"/>
          <w:spacing w:val="5"/>
        </w:rPr>
        <w:t>→</w:t>
      </w:r>
      <w:r>
        <w:rPr>
          <w:spacing w:val="5"/>
        </w:rPr>
        <w:t>打磨</w:t>
      </w:r>
      <w:r>
        <w:rPr>
          <w:rFonts w:ascii="Times New Roman" w:hAnsi="Times New Roman" w:eastAsia="Times New Roman" w:cs="Times New Roman"/>
          <w:spacing w:val="5"/>
        </w:rPr>
        <w:t>→</w:t>
      </w:r>
      <w:r>
        <w:rPr>
          <w:spacing w:val="5"/>
        </w:rPr>
        <w:t>铭文</w:t>
      </w:r>
      <w:r>
        <w:rPr>
          <w:rFonts w:ascii="Times New Roman" w:hAnsi="Times New Roman" w:eastAsia="Times New Roman" w:cs="Times New Roman"/>
          <w:spacing w:val="5"/>
        </w:rPr>
        <w:t>→</w:t>
      </w:r>
      <w:r>
        <w:rPr>
          <w:spacing w:val="5"/>
        </w:rPr>
        <w:t>养护。</w:t>
      </w:r>
    </w:p>
    <w:p>
      <w:pPr>
        <w:pStyle w:val="BodyText"/>
        <w:ind w:left="667"/>
        <w:spacing w:before="165" w:line="224" w:lineRule="auto"/>
        <w:rPr/>
      </w:pPr>
      <w:r>
        <w:rPr>
          <w:spacing w:val="5"/>
        </w:rPr>
        <w:t>加工要点：</w:t>
      </w:r>
    </w:p>
    <w:p>
      <w:pPr>
        <w:pStyle w:val="BodyText"/>
        <w:ind w:left="26" w:right="77" w:firstLine="665"/>
        <w:spacing w:before="188" w:line="278" w:lineRule="auto"/>
        <w:rPr/>
      </w:pPr>
      <w:r>
        <w:rPr>
          <w:rFonts w:ascii="Times New Roman" w:hAnsi="Times New Roman" w:eastAsia="Times New Roman" w:cs="Times New Roman"/>
          <w:spacing w:val="4"/>
        </w:rPr>
        <w:t>1.  </w:t>
      </w:r>
      <w:r>
        <w:rPr>
          <w:spacing w:val="4"/>
        </w:rPr>
        <w:t>开采。根据矿山岩层构造，采用传统手工作业方式开</w:t>
      </w:r>
      <w:r>
        <w:rPr>
          <w:spacing w:val="-16"/>
        </w:rPr>
        <w:t>采。</w:t>
      </w:r>
    </w:p>
    <w:p>
      <w:pPr>
        <w:pStyle w:val="BodyText"/>
        <w:ind w:left="661"/>
        <w:spacing w:before="184" w:line="234" w:lineRule="auto"/>
        <w:rPr/>
      </w:pPr>
      <w:r>
        <w:rPr>
          <w:rFonts w:ascii="Times New Roman" w:hAnsi="Times New Roman" w:eastAsia="Times New Roman" w:cs="Times New Roman"/>
          <w:spacing w:val="5"/>
        </w:rPr>
        <w:t>2.  </w:t>
      </w:r>
      <w:r>
        <w:rPr>
          <w:spacing w:val="5"/>
        </w:rPr>
        <w:t>选料。观察石坯的形状、质地、石品，采用水浸、敲</w:t>
      </w:r>
    </w:p>
    <w:p>
      <w:pPr>
        <w:spacing w:line="234" w:lineRule="auto"/>
        <w:sectPr>
          <w:pgSz w:w="11907" w:h="16839"/>
          <w:pgMar w:top="1431" w:right="1723" w:bottom="0" w:left="1785" w:header="0" w:footer="0" w:gutter="0"/>
        </w:sectPr>
        <w:rPr/>
      </w:pPr>
    </w:p>
    <w:p>
      <w:pPr>
        <w:pStyle w:val="BodyText"/>
        <w:ind w:left="40"/>
        <w:spacing w:before="183" w:line="220" w:lineRule="auto"/>
        <w:rPr/>
      </w:pPr>
      <w:r>
        <w:rPr>
          <w:spacing w:val="13"/>
        </w:rPr>
        <w:t>击等方法反复检查石坯，选出无石筋石隔、无裂缝的砚料。</w:t>
      </w:r>
    </w:p>
    <w:p>
      <w:pPr>
        <w:pStyle w:val="BodyText"/>
        <w:ind w:left="25" w:right="117" w:firstLine="642"/>
        <w:spacing w:before="187" w:line="297" w:lineRule="auto"/>
        <w:rPr/>
      </w:pPr>
      <w:r>
        <w:rPr>
          <w:rFonts w:ascii="Times New Roman" w:hAnsi="Times New Roman" w:eastAsia="Times New Roman" w:cs="Times New Roman"/>
          <w:spacing w:val="8"/>
        </w:rPr>
        <w:t>3.  </w:t>
      </w:r>
      <w:r>
        <w:rPr>
          <w:spacing w:val="8"/>
        </w:rPr>
        <w:t>制坯。采用切割和剔凿的方法对砚料进行初步加工，</w:t>
      </w:r>
      <w:r>
        <w:rPr>
          <w:spacing w:val="10"/>
        </w:rPr>
        <w:t>去掉多余部分，</w:t>
      </w:r>
      <w:r>
        <w:rPr>
          <w:spacing w:val="-85"/>
        </w:rPr>
        <w:t xml:space="preserve"> </w:t>
      </w:r>
      <w:r>
        <w:rPr>
          <w:spacing w:val="10"/>
        </w:rPr>
        <w:t>留下雕刻纹饰图案的大体位置，挖出砚池、</w:t>
      </w:r>
      <w:r>
        <w:rPr>
          <w:spacing w:val="3"/>
        </w:rPr>
        <w:t>砚堂、覆手的基本形状。</w:t>
      </w:r>
    </w:p>
    <w:p>
      <w:pPr>
        <w:pStyle w:val="BodyText"/>
        <w:ind w:left="24" w:firstLine="635"/>
        <w:spacing w:before="185" w:line="296" w:lineRule="auto"/>
        <w:rPr/>
      </w:pPr>
      <w:r>
        <w:rPr>
          <w:rFonts w:ascii="Times New Roman" w:hAnsi="Times New Roman" w:eastAsia="Times New Roman" w:cs="Times New Roman"/>
          <w:spacing w:val="5"/>
        </w:rPr>
        <w:t>4.  </w:t>
      </w:r>
      <w:r>
        <w:rPr>
          <w:spacing w:val="5"/>
        </w:rPr>
        <w:t>雕刻。根据砚料的天然外形和颜色构思设计，以画针</w:t>
      </w:r>
      <w:r>
        <w:rPr>
          <w:spacing w:val="6"/>
        </w:rPr>
        <w:t>精准勾画整体设计图案与细节特征，雕刻遵循</w:t>
      </w:r>
      <w:r>
        <w:rPr>
          <w:rFonts w:ascii="Times New Roman" w:hAnsi="Times New Roman" w:eastAsia="Times New Roman" w:cs="Times New Roman"/>
          <w:spacing w:val="6"/>
        </w:rPr>
        <w:t>“</w:t>
      </w:r>
      <w:r>
        <w:rPr>
          <w:spacing w:val="6"/>
        </w:rPr>
        <w:t>先整体后局部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spacing w:val="5"/>
        </w:rPr>
        <w:t>原则，由粗坯到细琢，精细加工。</w:t>
      </w:r>
    </w:p>
    <w:p>
      <w:pPr>
        <w:pStyle w:val="BodyText"/>
        <w:ind w:left="670"/>
        <w:spacing w:before="190" w:line="234" w:lineRule="auto"/>
        <w:rPr/>
      </w:pPr>
      <w:r>
        <w:rPr>
          <w:rFonts w:ascii="Times New Roman" w:hAnsi="Times New Roman" w:eastAsia="Times New Roman" w:cs="Times New Roman"/>
          <w:spacing w:val="5"/>
        </w:rPr>
        <w:t>5.  </w:t>
      </w:r>
      <w:r>
        <w:rPr>
          <w:spacing w:val="5"/>
        </w:rPr>
        <w:t>打磨。从粗到细逐次打磨，使砚台顺滑、光洁。</w:t>
      </w:r>
    </w:p>
    <w:p>
      <w:pPr>
        <w:pStyle w:val="BodyText"/>
        <w:ind w:left="668"/>
        <w:spacing w:before="168" w:line="234" w:lineRule="auto"/>
        <w:rPr/>
      </w:pPr>
      <w:r>
        <w:rPr>
          <w:rFonts w:ascii="Times New Roman" w:hAnsi="Times New Roman" w:eastAsia="Times New Roman" w:cs="Times New Roman"/>
          <w:spacing w:val="6"/>
        </w:rPr>
        <w:t>6.  </w:t>
      </w:r>
      <w:r>
        <w:rPr>
          <w:spacing w:val="6"/>
        </w:rPr>
        <w:t>铭文。在砚台背面、侧面篆刻图案或文字。</w:t>
      </w:r>
    </w:p>
    <w:p>
      <w:pPr>
        <w:pStyle w:val="BodyText"/>
        <w:ind w:left="32" w:right="215" w:firstLine="634"/>
        <w:spacing w:before="168" w:line="276" w:lineRule="auto"/>
        <w:rPr/>
      </w:pPr>
      <w:r>
        <w:rPr>
          <w:rFonts w:ascii="Times New Roman" w:hAnsi="Times New Roman" w:eastAsia="Times New Roman" w:cs="Times New Roman"/>
          <w:spacing w:val="5"/>
        </w:rPr>
        <w:t>7.  </w:t>
      </w:r>
      <w:r>
        <w:rPr>
          <w:spacing w:val="5"/>
        </w:rPr>
        <w:t>养护。用软毛刷蘸少许核桃油涂抹全砚，用软布擦拭</w:t>
      </w:r>
      <w:r>
        <w:rPr>
          <w:spacing w:val="-11"/>
        </w:rPr>
        <w:t>均匀。</w:t>
      </w:r>
    </w:p>
    <w:p>
      <w:pPr>
        <w:ind w:left="693"/>
        <w:spacing w:before="192" w:line="225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</w:rPr>
        <w:t>（三）质量特色</w:t>
      </w:r>
    </w:p>
    <w:p>
      <w:pPr>
        <w:pStyle w:val="BodyText"/>
        <w:ind w:left="28" w:right="215" w:firstLine="664"/>
        <w:spacing w:before="183" w:line="305" w:lineRule="auto"/>
        <w:rPr/>
      </w:pPr>
      <w:r>
        <w:rPr>
          <w:rFonts w:ascii="Times New Roman" w:hAnsi="Times New Roman" w:eastAsia="Times New Roman" w:cs="Times New Roman"/>
          <w:spacing w:val="4"/>
        </w:rPr>
        <w:t>1.  </w:t>
      </w:r>
      <w:r>
        <w:rPr>
          <w:spacing w:val="4"/>
        </w:rPr>
        <w:t>感官特色。玄黑如墨，遇水或潮湿情况呈独特的青黑</w:t>
      </w:r>
      <w:r>
        <w:rPr>
          <w:spacing w:val="9"/>
        </w:rPr>
        <w:t>色，泛丝绢光泽。触之如凝脂净润，久置不油而自</w:t>
      </w:r>
      <w:r>
        <w:rPr>
          <w:spacing w:val="8"/>
        </w:rPr>
        <w:t>润，发墨</w:t>
      </w:r>
      <w:r>
        <w:rPr>
          <w:spacing w:val="-6"/>
        </w:rPr>
        <w:t>如风，不损毫，储墨不涸，研磨难损，涤之立净，历久弥新。</w:t>
      </w:r>
      <w:r>
        <w:rPr>
          <w:spacing w:val="3"/>
        </w:rPr>
        <w:t>质密如膏，肌理细匀，凝而不松，</w:t>
      </w:r>
      <w:r>
        <w:rPr>
          <w:spacing w:val="-78"/>
        </w:rPr>
        <w:t xml:space="preserve"> </w:t>
      </w:r>
      <w:r>
        <w:rPr>
          <w:spacing w:val="3"/>
        </w:rPr>
        <w:t>净而少疵。</w:t>
      </w:r>
    </w:p>
    <w:p>
      <w:pPr>
        <w:pStyle w:val="BodyText"/>
        <w:ind w:left="21" w:right="292" w:firstLine="640"/>
        <w:spacing w:before="191" w:line="292" w:lineRule="auto"/>
        <w:rPr/>
      </w:pPr>
      <w:r>
        <w:rPr>
          <w:rFonts w:ascii="Times New Roman" w:hAnsi="Times New Roman" w:eastAsia="Times New Roman" w:cs="Times New Roman"/>
          <w:spacing w:val="16"/>
        </w:rPr>
        <w:t>2.  </w:t>
      </w:r>
      <w:r>
        <w:rPr>
          <w:spacing w:val="16"/>
        </w:rPr>
        <w:t>理化指标。莫氏硬度</w:t>
      </w:r>
      <w:r>
        <w:rPr>
          <w:spacing w:val="62"/>
        </w:rPr>
        <w:t xml:space="preserve"> </w:t>
      </w:r>
      <w:r>
        <w:rPr>
          <w:rFonts w:ascii="Times New Roman" w:hAnsi="Times New Roman" w:eastAsia="Times New Roman" w:cs="Times New Roman"/>
          <w:spacing w:val="16"/>
        </w:rPr>
        <w:t>3.2</w:t>
      </w:r>
      <w:r>
        <w:rPr>
          <w:spacing w:val="16"/>
        </w:rPr>
        <w:t>～</w:t>
      </w:r>
      <w:r>
        <w:rPr>
          <w:rFonts w:ascii="Times New Roman" w:hAnsi="Times New Roman" w:eastAsia="Times New Roman" w:cs="Times New Roman"/>
          <w:spacing w:val="16"/>
        </w:rPr>
        <w:t>3.6</w:t>
      </w:r>
      <w:r>
        <w:rPr>
          <w:spacing w:val="16"/>
        </w:rPr>
        <w:t>，</w:t>
      </w:r>
      <w:r>
        <w:rPr>
          <w:spacing w:val="-90"/>
        </w:rPr>
        <w:t xml:space="preserve"> </w:t>
      </w:r>
      <w:r>
        <w:rPr>
          <w:spacing w:val="16"/>
        </w:rPr>
        <w:t>体积密度</w:t>
      </w:r>
      <w:r>
        <w:rPr>
          <w:spacing w:val="39"/>
        </w:rPr>
        <w:t xml:space="preserve"> </w:t>
      </w:r>
      <w:r>
        <w:rPr>
          <w:rFonts w:ascii="Times New Roman" w:hAnsi="Times New Roman" w:eastAsia="Times New Roman" w:cs="Times New Roman"/>
          <w:spacing w:val="16"/>
        </w:rPr>
        <w:t>2.80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16"/>
        </w:rPr>
        <w:t>~</w:t>
      </w:r>
      <w:r>
        <w:rPr/>
        <w:t xml:space="preserve"> </w:t>
      </w:r>
      <w:r>
        <w:rPr>
          <w:rFonts w:ascii="Times New Roman" w:hAnsi="Times New Roman" w:eastAsia="Times New Roman" w:cs="Times New Roman"/>
        </w:rPr>
        <w:t>2.88g/cm</w:t>
      </w:r>
      <w:r>
        <w:rPr>
          <w:rFonts w:ascii="Times New Roman" w:hAnsi="Times New Roman" w:eastAsia="Times New Roman" w:cs="Times New Roman"/>
          <w:sz w:val="21"/>
          <w:szCs w:val="21"/>
          <w:position w:val="14"/>
        </w:rPr>
        <w:t>3</w:t>
      </w:r>
      <w:r>
        <w:rPr>
          <w:rFonts w:ascii="Times New Roman" w:hAnsi="Times New Roman" w:eastAsia="Times New Roman" w:cs="Times New Roman"/>
          <w:sz w:val="21"/>
          <w:szCs w:val="21"/>
          <w:spacing w:val="1"/>
          <w:position w:val="14"/>
        </w:rPr>
        <w:t xml:space="preserve"> </w:t>
      </w:r>
      <w:r>
        <w:rPr/>
        <w:t>，饱和吸水率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</w:rPr>
        <w:t>0.02</w:t>
      </w:r>
      <w:r>
        <w:rPr/>
        <w:t>～</w:t>
      </w:r>
      <w:r>
        <w:rPr>
          <w:rFonts w:ascii="Times New Roman" w:hAnsi="Times New Roman" w:eastAsia="Times New Roman" w:cs="Times New Roman"/>
        </w:rPr>
        <w:t>0.10%</w:t>
      </w:r>
      <w:r>
        <w:rPr/>
        <w:t>，发墨量＞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</w:rPr>
        <w:t>7mm</w:t>
      </w:r>
      <w:r>
        <w:rPr>
          <w:rFonts w:ascii="Times New Roman" w:hAnsi="Times New Roman" w:eastAsia="Times New Roman" w:cs="Times New Roman"/>
          <w:sz w:val="21"/>
          <w:szCs w:val="21"/>
          <w:position w:val="14"/>
        </w:rPr>
        <w:t>3</w:t>
      </w:r>
      <w:r>
        <w:rPr>
          <w:rFonts w:ascii="Times New Roman" w:hAnsi="Times New Roman" w:eastAsia="Times New Roman" w:cs="Times New Roman"/>
        </w:rPr>
        <w:t>/min</w:t>
      </w:r>
      <w:r>
        <w:rPr/>
        <w:t>，</w:t>
      </w:r>
      <w:r>
        <w:rPr>
          <w:spacing w:val="7"/>
        </w:rPr>
        <w:t>下墨量＞</w:t>
      </w:r>
      <w:r>
        <w:rPr>
          <w:rFonts w:ascii="Times New Roman" w:hAnsi="Times New Roman" w:eastAsia="Times New Roman" w:cs="Times New Roman"/>
          <w:spacing w:val="7"/>
        </w:rPr>
        <w:t>7.2</w:t>
      </w:r>
      <w:r>
        <w:rPr>
          <w:rFonts w:ascii="Times New Roman" w:hAnsi="Times New Roman" w:eastAsia="Times New Roman" w:cs="Times New Roman"/>
        </w:rPr>
        <w:t>mm</w:t>
      </w:r>
      <w:r>
        <w:rPr>
          <w:rFonts w:ascii="Times New Roman" w:hAnsi="Times New Roman" w:eastAsia="Times New Roman" w:cs="Times New Roman"/>
          <w:sz w:val="21"/>
          <w:szCs w:val="21"/>
          <w:spacing w:val="7"/>
          <w:position w:val="14"/>
        </w:rPr>
        <w:t>3</w:t>
      </w:r>
      <w:r>
        <w:rPr>
          <w:rFonts w:ascii="Times New Roman" w:hAnsi="Times New Roman" w:eastAsia="Times New Roman" w:cs="Times New Roman"/>
          <w:spacing w:val="7"/>
        </w:rPr>
        <w:t>/</w:t>
      </w:r>
      <w:r>
        <w:rPr>
          <w:rFonts w:ascii="Times New Roman" w:hAnsi="Times New Roman" w:eastAsia="Times New Roman" w:cs="Times New Roman"/>
        </w:rPr>
        <w:t>min</w:t>
      </w:r>
      <w:r>
        <w:rPr>
          <w:spacing w:val="7"/>
        </w:rPr>
        <w:t>。</w:t>
      </w:r>
    </w:p>
    <w:p>
      <w:pPr>
        <w:pStyle w:val="BodyText"/>
        <w:ind w:left="30" w:right="215" w:firstLine="637"/>
        <w:spacing w:before="162" w:line="279" w:lineRule="auto"/>
        <w:rPr/>
      </w:pPr>
      <w:r>
        <w:rPr>
          <w:rFonts w:ascii="Times New Roman" w:hAnsi="Times New Roman" w:eastAsia="Times New Roman" w:cs="Times New Roman"/>
          <w:spacing w:val="5"/>
        </w:rPr>
        <w:t>3.  </w:t>
      </w:r>
      <w:r>
        <w:rPr>
          <w:spacing w:val="5"/>
        </w:rPr>
        <w:t>安全及其他质量要求。产品安全及其他质量要</w:t>
      </w:r>
      <w:r>
        <w:rPr>
          <w:spacing w:val="4"/>
        </w:rPr>
        <w:t>求应符</w:t>
      </w:r>
      <w:r>
        <w:rPr>
          <w:spacing w:val="-1"/>
        </w:rPr>
        <w:t>合国家相关规定。</w:t>
      </w:r>
    </w:p>
    <w:p>
      <w:pPr>
        <w:ind w:left="676"/>
        <w:spacing w:before="184" w:line="224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五、专用标志使用</w:t>
      </w:r>
    </w:p>
    <w:p>
      <w:pPr>
        <w:pStyle w:val="BodyText"/>
        <w:ind w:left="40" w:right="215" w:firstLine="644"/>
        <w:spacing w:before="181" w:line="334" w:lineRule="auto"/>
        <w:rPr/>
      </w:pPr>
      <w:r>
        <w:rPr>
          <w:spacing w:val="8"/>
        </w:rPr>
        <w:t>宣砚产地范围内的生产者，可向安徽省宣城市旌德县知</w:t>
      </w:r>
      <w:r>
        <w:rPr>
          <w:spacing w:val="9"/>
        </w:rPr>
        <w:t>识产权管理部门提出使用</w:t>
      </w:r>
      <w:r>
        <w:rPr>
          <w:rFonts w:ascii="Times New Roman" w:hAnsi="Times New Roman" w:eastAsia="Times New Roman" w:cs="Times New Roman"/>
          <w:spacing w:val="9"/>
        </w:rPr>
        <w:t>“</w:t>
      </w:r>
      <w:r>
        <w:rPr>
          <w:spacing w:val="9"/>
        </w:rPr>
        <w:t>地理标志专用标志</w:t>
      </w:r>
      <w:r>
        <w:rPr>
          <w:rFonts w:ascii="Times New Roman" w:hAnsi="Times New Roman" w:eastAsia="Times New Roman" w:cs="Times New Roman"/>
          <w:spacing w:val="9"/>
        </w:rPr>
        <w:t>”</w:t>
      </w:r>
      <w:r>
        <w:rPr>
          <w:spacing w:val="9"/>
        </w:rPr>
        <w:t>的申请，经安</w:t>
      </w:r>
    </w:p>
    <w:p>
      <w:pPr>
        <w:spacing w:line="334" w:lineRule="auto"/>
        <w:sectPr>
          <w:pgSz w:w="11907" w:h="16839"/>
          <w:pgMar w:top="1431" w:right="1585" w:bottom="0" w:left="1785" w:header="0" w:footer="0" w:gutter="0"/>
        </w:sectPr>
        <w:rPr/>
      </w:pPr>
    </w:p>
    <w:p>
      <w:pPr>
        <w:pStyle w:val="BodyText"/>
        <w:ind w:left="36" w:hanging="11"/>
        <w:spacing w:before="184" w:line="333" w:lineRule="auto"/>
        <w:jc w:val="both"/>
        <w:rPr/>
      </w:pPr>
      <w:r>
        <w:rPr>
          <w:spacing w:val="12"/>
        </w:rPr>
        <w:t>徽省知识产权局审核，报国家知识产权局核准后予以公告。</w:t>
      </w:r>
      <w:r>
        <w:rPr>
          <w:spacing w:val="21"/>
        </w:rPr>
        <w:t>宣砚的检测机构由安徽省知识产权局在符合资质要求的检</w:t>
      </w:r>
      <w:r>
        <w:rPr>
          <w:spacing w:val="-2"/>
        </w:rPr>
        <w:t>测机构中选定。</w:t>
      </w:r>
    </w:p>
    <w:sectPr>
      <w:pgSz w:w="11907" w:h="16839"/>
      <w:pgMar w:top="1431" w:right="1715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ZXiaoBiaoSong-B05S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Office Word 2007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zhaojing</dc:creator>
  <dcterms:created xsi:type="dcterms:W3CDTF">2025-10-27T09:44:37Z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2025-10-27T13:45:12</vt:filetime>
  </property>
</Properties>
</file>