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44"/>
        <w:spacing w:before="184" w:line="227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4"/>
        </w:rPr>
        <w:t>附件</w:t>
      </w:r>
      <w:r>
        <w:rPr>
          <w:rFonts w:ascii="SimHei" w:hAnsi="SimHei" w:eastAsia="SimHei" w:cs="SimHei"/>
          <w:sz w:val="31"/>
          <w:szCs w:val="31"/>
          <w:spacing w:val="-62"/>
        </w:rPr>
        <w:t xml:space="preserve"> </w:t>
      </w:r>
      <w:r>
        <w:rPr>
          <w:rFonts w:ascii="SimHei" w:hAnsi="SimHei" w:eastAsia="SimHei" w:cs="SimHei"/>
          <w:sz w:val="31"/>
          <w:szCs w:val="31"/>
          <w:spacing w:val="-4"/>
        </w:rPr>
        <w:t>2</w:t>
      </w:r>
    </w:p>
    <w:p>
      <w:pPr>
        <w:ind w:left="1096"/>
        <w:spacing w:before="309" w:line="214" w:lineRule="auto"/>
        <w:outlineLvl w:val="0"/>
        <w:rPr>
          <w:rFonts w:ascii="FZXiaoBiaoSong-B05S" w:hAnsi="FZXiaoBiaoSong-B05S" w:eastAsia="FZXiaoBiaoSong-B05S" w:cs="FZXiaoBiaoSong-B05S"/>
          <w:sz w:val="43"/>
          <w:szCs w:val="43"/>
        </w:rPr>
      </w:pPr>
      <w:r>
        <w:rPr>
          <w:rFonts w:ascii="FZXiaoBiaoSong-B05S" w:hAnsi="FZXiaoBiaoSong-B05S" w:eastAsia="FZXiaoBiaoSong-B05S" w:cs="FZXiaoBiaoSong-B05S"/>
          <w:sz w:val="43"/>
          <w:szCs w:val="43"/>
          <w:spacing w:val="9"/>
        </w:rPr>
        <w:t>潮州木雕地理标志产品保护要求</w:t>
      </w:r>
    </w:p>
    <w:p>
      <w:pPr>
        <w:spacing w:line="286" w:lineRule="auto"/>
        <w:rPr>
          <w:rFonts w:ascii="Arial"/>
          <w:sz w:val="21"/>
        </w:rPr>
      </w:pPr>
      <w:r/>
    </w:p>
    <w:p>
      <w:pPr>
        <w:spacing w:line="286" w:lineRule="auto"/>
        <w:rPr>
          <w:rFonts w:ascii="Arial"/>
          <w:sz w:val="21"/>
        </w:rPr>
      </w:pPr>
      <w:r/>
    </w:p>
    <w:p>
      <w:pPr>
        <w:ind w:left="672"/>
        <w:spacing w:before="100" w:line="224" w:lineRule="auto"/>
        <w:outlineLvl w:val="1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6"/>
        </w:rPr>
        <w:t>一、地理标志产品名称</w:t>
      </w:r>
    </w:p>
    <w:p>
      <w:pPr>
        <w:pStyle w:val="BodyText"/>
        <w:ind w:left="681"/>
        <w:spacing w:before="181" w:line="224" w:lineRule="auto"/>
        <w:rPr/>
      </w:pPr>
      <w:r>
        <w:rPr>
          <w:spacing w:val="2"/>
        </w:rPr>
        <w:t>潮州木雕。</w:t>
      </w:r>
    </w:p>
    <w:p>
      <w:pPr>
        <w:ind w:left="672"/>
        <w:spacing w:before="183" w:line="225" w:lineRule="auto"/>
        <w:outlineLvl w:val="1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7"/>
        </w:rPr>
        <w:t>二、申请机构</w:t>
      </w:r>
    </w:p>
    <w:p>
      <w:pPr>
        <w:pStyle w:val="BodyText"/>
        <w:ind w:left="666"/>
        <w:spacing w:before="184" w:line="220" w:lineRule="auto"/>
        <w:rPr/>
      </w:pPr>
      <w:r>
        <w:rPr>
          <w:spacing w:val="3"/>
        </w:rPr>
        <w:t>广东省潮州市人民政府。</w:t>
      </w:r>
    </w:p>
    <w:p>
      <w:pPr>
        <w:ind w:left="674"/>
        <w:spacing w:before="190" w:line="226" w:lineRule="auto"/>
        <w:outlineLvl w:val="1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6"/>
        </w:rPr>
        <w:t>三、产地范围</w:t>
      </w:r>
    </w:p>
    <w:p>
      <w:pPr>
        <w:pStyle w:val="BodyText"/>
        <w:ind w:left="666"/>
        <w:spacing w:before="180" w:line="220" w:lineRule="auto"/>
        <w:rPr/>
      </w:pPr>
      <w:r>
        <w:rPr>
          <w:spacing w:val="5"/>
        </w:rPr>
        <w:t>广东省潮州市现辖行政区域。</w:t>
      </w:r>
    </w:p>
    <w:p>
      <w:pPr>
        <w:ind w:left="686"/>
        <w:spacing w:before="192" w:line="225" w:lineRule="auto"/>
        <w:outlineLvl w:val="1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4"/>
        </w:rPr>
        <w:t>四、质量要求</w:t>
      </w:r>
    </w:p>
    <w:p>
      <w:pPr>
        <w:ind w:left="693"/>
        <w:spacing w:before="182" w:line="224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3"/>
        </w:rPr>
        <w:t>（一）原料要求</w:t>
      </w:r>
    </w:p>
    <w:p>
      <w:pPr>
        <w:pStyle w:val="BodyText"/>
        <w:ind w:left="33" w:right="13" w:firstLine="659"/>
        <w:spacing w:before="184" w:line="296" w:lineRule="auto"/>
        <w:rPr/>
      </w:pPr>
      <w:r>
        <w:rPr>
          <w:rFonts w:ascii="Times New Roman" w:hAnsi="Times New Roman" w:eastAsia="Times New Roman" w:cs="Times New Roman"/>
          <w:spacing w:val="4"/>
        </w:rPr>
        <w:t>1.  </w:t>
      </w:r>
      <w:r>
        <w:rPr>
          <w:spacing w:val="4"/>
        </w:rPr>
        <w:t>主材。选用产地范围内木质紧密、纹理清晰、油性好</w:t>
      </w:r>
      <w:r>
        <w:rPr>
          <w:spacing w:val="2"/>
        </w:rPr>
        <w:t>的樟木，木材含水率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8%</w:t>
      </w:r>
      <w:r>
        <w:rPr>
          <w:spacing w:val="2"/>
        </w:rPr>
        <w:t>～</w:t>
      </w:r>
      <w:r>
        <w:rPr>
          <w:rFonts w:ascii="Times New Roman" w:hAnsi="Times New Roman" w:eastAsia="Times New Roman" w:cs="Times New Roman"/>
          <w:spacing w:val="2"/>
        </w:rPr>
        <w:t>13%</w:t>
      </w:r>
      <w:r>
        <w:rPr>
          <w:spacing w:val="2"/>
        </w:rPr>
        <w:t>，其他指标应符合国家相关标</w:t>
      </w:r>
      <w:r>
        <w:rPr>
          <w:spacing w:val="-10"/>
        </w:rPr>
        <w:t>准规定。</w:t>
      </w:r>
    </w:p>
    <w:p>
      <w:pPr>
        <w:pStyle w:val="BodyText"/>
        <w:ind w:left="26" w:right="17" w:firstLine="634"/>
        <w:spacing w:before="188" w:line="296" w:lineRule="auto"/>
        <w:rPr/>
      </w:pPr>
      <w:r>
        <w:rPr>
          <w:rFonts w:ascii="Times New Roman" w:hAnsi="Times New Roman" w:eastAsia="Times New Roman" w:cs="Times New Roman"/>
          <w:spacing w:val="-9"/>
        </w:rPr>
        <w:t>2.  </w:t>
      </w:r>
      <w:r>
        <w:rPr>
          <w:spacing w:val="-9"/>
        </w:rPr>
        <w:t>辅材。产地范围内的杉木、苦楝、黎木、柯木、榕木、</w:t>
      </w:r>
      <w:r>
        <w:rPr>
          <w:spacing w:val="9"/>
        </w:rPr>
        <w:t>柚木、紫檀木等木材，应符合国家相关标准规定</w:t>
      </w:r>
      <w:r>
        <w:rPr>
          <w:spacing w:val="8"/>
        </w:rPr>
        <w:t>。禁止使用</w:t>
      </w:r>
      <w:r>
        <w:rPr>
          <w:spacing w:val="5"/>
        </w:rPr>
        <w:t>速生林木材或人工合成板材。</w:t>
      </w:r>
    </w:p>
    <w:p>
      <w:pPr>
        <w:pStyle w:val="BodyText"/>
        <w:ind w:left="24" w:right="12" w:firstLine="643"/>
        <w:spacing w:before="189" w:line="278" w:lineRule="auto"/>
        <w:rPr/>
      </w:pPr>
      <w:r>
        <w:rPr>
          <w:rFonts w:ascii="Times New Roman" w:hAnsi="Times New Roman" w:eastAsia="Times New Roman" w:cs="Times New Roman"/>
          <w:spacing w:val="5"/>
        </w:rPr>
        <w:t>3.  </w:t>
      </w:r>
      <w:r>
        <w:rPr>
          <w:spacing w:val="5"/>
        </w:rPr>
        <w:t>其他辅料。生漆、桐油、纯金箔等，应符合国家相关</w:t>
      </w:r>
      <w:r>
        <w:rPr>
          <w:spacing w:val="5"/>
        </w:rPr>
        <w:t>标准规定。</w:t>
      </w:r>
    </w:p>
    <w:p>
      <w:pPr>
        <w:ind w:left="693"/>
        <w:spacing w:before="188" w:line="227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3"/>
        </w:rPr>
        <w:t>（二）工艺流程</w:t>
      </w:r>
    </w:p>
    <w:p>
      <w:pPr>
        <w:pStyle w:val="BodyText"/>
        <w:ind w:left="692"/>
        <w:spacing w:before="177" w:line="238" w:lineRule="auto"/>
        <w:rPr/>
      </w:pPr>
      <w:r>
        <w:rPr>
          <w:rFonts w:ascii="Times New Roman" w:hAnsi="Times New Roman" w:eastAsia="Times New Roman" w:cs="Times New Roman"/>
          <w:spacing w:val="-12"/>
        </w:rPr>
        <w:t>1.</w:t>
      </w:r>
      <w:r>
        <w:rPr>
          <w:rFonts w:ascii="Times New Roman" w:hAnsi="Times New Roman" w:eastAsia="Times New Roman" w:cs="Times New Roman"/>
          <w:spacing w:val="5"/>
        </w:rPr>
        <w:t xml:space="preserve">  </w:t>
      </w:r>
      <w:r>
        <w:rPr>
          <w:spacing w:val="-12"/>
        </w:rPr>
        <w:t>雕刻。</w:t>
      </w:r>
    </w:p>
    <w:p>
      <w:pPr>
        <w:pStyle w:val="BodyText"/>
        <w:ind w:left="671"/>
        <w:spacing w:before="163" w:line="234" w:lineRule="auto"/>
        <w:rPr/>
      </w:pPr>
      <w:r>
        <w:rPr>
          <w:spacing w:val="5"/>
        </w:rPr>
        <w:t>选材</w:t>
      </w:r>
      <w:r>
        <w:rPr>
          <w:rFonts w:ascii="Times New Roman" w:hAnsi="Times New Roman" w:eastAsia="Times New Roman" w:cs="Times New Roman"/>
          <w:spacing w:val="5"/>
        </w:rPr>
        <w:t>→</w:t>
      </w:r>
      <w:r>
        <w:rPr>
          <w:spacing w:val="5"/>
        </w:rPr>
        <w:t>凿粗坯</w:t>
      </w:r>
      <w:r>
        <w:rPr>
          <w:rFonts w:ascii="Times New Roman" w:hAnsi="Times New Roman" w:eastAsia="Times New Roman" w:cs="Times New Roman"/>
          <w:spacing w:val="5"/>
        </w:rPr>
        <w:t>→</w:t>
      </w:r>
      <w:r>
        <w:rPr>
          <w:rFonts w:ascii="Times New Roman" w:hAnsi="Times New Roman" w:eastAsia="Times New Roman" w:cs="Times New Roman"/>
          <w:spacing w:val="-56"/>
        </w:rPr>
        <w:t xml:space="preserve"> </w:t>
      </w:r>
      <w:r>
        <w:rPr>
          <w:spacing w:val="5"/>
        </w:rPr>
        <w:t>细雕刻</w:t>
      </w:r>
      <w:r>
        <w:rPr>
          <w:rFonts w:ascii="Times New Roman" w:hAnsi="Times New Roman" w:eastAsia="Times New Roman" w:cs="Times New Roman"/>
          <w:spacing w:val="5"/>
        </w:rPr>
        <w:t>→</w:t>
      </w:r>
      <w:r>
        <w:rPr>
          <w:spacing w:val="5"/>
        </w:rPr>
        <w:t>打磨</w:t>
      </w:r>
      <w:r>
        <w:rPr>
          <w:rFonts w:ascii="Times New Roman" w:hAnsi="Times New Roman" w:eastAsia="Times New Roman" w:cs="Times New Roman"/>
          <w:spacing w:val="5"/>
        </w:rPr>
        <w:t>→</w:t>
      </w:r>
      <w:r>
        <w:rPr>
          <w:spacing w:val="5"/>
        </w:rPr>
        <w:t>精雕。</w:t>
      </w:r>
    </w:p>
    <w:p>
      <w:pPr>
        <w:pStyle w:val="BodyText"/>
        <w:ind w:left="18" w:right="37" w:firstLine="641"/>
        <w:spacing w:before="165" w:line="323" w:lineRule="auto"/>
        <w:rPr/>
      </w:pPr>
      <w:r>
        <w:rPr>
          <w:spacing w:val="11"/>
        </w:rPr>
        <w:t>（</w:t>
      </w:r>
      <w:r>
        <w:rPr>
          <w:rFonts w:ascii="Times New Roman" w:hAnsi="Times New Roman" w:eastAsia="Times New Roman" w:cs="Times New Roman"/>
          <w:spacing w:val="11"/>
        </w:rPr>
        <w:t>1 </w:t>
      </w:r>
      <w:r>
        <w:rPr>
          <w:spacing w:val="11"/>
        </w:rPr>
        <w:t>）选材。依设计需求选木料，预留收缩余量，</w:t>
      </w:r>
      <w:r>
        <w:rPr>
          <w:spacing w:val="10"/>
        </w:rPr>
        <w:t>避免</w:t>
      </w:r>
      <w:r>
        <w:rPr>
          <w:spacing w:val="-7"/>
        </w:rPr>
        <w:t>形变。</w:t>
      </w:r>
    </w:p>
    <w:p>
      <w:pPr>
        <w:spacing w:line="323" w:lineRule="auto"/>
        <w:sectPr>
          <w:pgSz w:w="11907" w:h="16839"/>
          <w:pgMar w:top="1431" w:right="1785" w:bottom="0" w:left="1785" w:header="0" w:footer="0" w:gutter="0"/>
        </w:sectPr>
        <w:rPr/>
      </w:pPr>
    </w:p>
    <w:p>
      <w:pPr>
        <w:pStyle w:val="BodyText"/>
        <w:ind w:left="34" w:right="108" w:firstLine="625"/>
        <w:spacing w:before="185" w:line="276" w:lineRule="auto"/>
        <w:rPr/>
      </w:pPr>
      <w:r>
        <w:rPr>
          <w:spacing w:val="14"/>
        </w:rPr>
        <w:t>（</w:t>
      </w:r>
      <w:r>
        <w:rPr>
          <w:rFonts w:ascii="Times New Roman" w:hAnsi="Times New Roman" w:eastAsia="Times New Roman" w:cs="Times New Roman"/>
          <w:spacing w:val="14"/>
        </w:rPr>
        <w:t>2</w:t>
      </w:r>
      <w:r>
        <w:rPr>
          <w:spacing w:val="14"/>
        </w:rPr>
        <w:t>）凿粗坯。将画稿粘贴或复写在板面上，再进行施</w:t>
      </w:r>
      <w:r>
        <w:rPr>
          <w:spacing w:val="5"/>
        </w:rPr>
        <w:t>凿，使木雕的体积、结构和线条明朗化。</w:t>
      </w:r>
    </w:p>
    <w:p>
      <w:pPr>
        <w:pStyle w:val="BodyText"/>
        <w:ind w:left="26" w:right="94" w:firstLine="632"/>
        <w:spacing w:before="192" w:line="295" w:lineRule="auto"/>
        <w:rPr/>
      </w:pPr>
      <w:r>
        <w:rPr>
          <w:spacing w:val="11"/>
        </w:rPr>
        <w:t>（</w:t>
      </w:r>
      <w:r>
        <w:rPr>
          <w:rFonts w:ascii="Times New Roman" w:hAnsi="Times New Roman" w:eastAsia="Times New Roman" w:cs="Times New Roman"/>
          <w:spacing w:val="11"/>
        </w:rPr>
        <w:t>3 </w:t>
      </w:r>
      <w:r>
        <w:rPr>
          <w:spacing w:val="11"/>
        </w:rPr>
        <w:t>）细雕刻。用平刀及斜刀雕刻图案并修光。灵活运</w:t>
      </w:r>
      <w:r>
        <w:rPr>
          <w:spacing w:val="-10"/>
        </w:rPr>
        <w:t>用浮雕、沉雕、镂通雕、圆雕的雕刻技法，营造</w:t>
      </w:r>
      <w:r>
        <w:rPr>
          <w:rFonts w:ascii="Times New Roman" w:hAnsi="Times New Roman" w:eastAsia="Times New Roman" w:cs="Times New Roman"/>
          <w:spacing w:val="-10"/>
        </w:rPr>
        <w:t>“</w:t>
      </w:r>
      <w:r>
        <w:rPr>
          <w:spacing w:val="-10"/>
        </w:rPr>
        <w:t>匀匀、杂杂、</w:t>
      </w:r>
      <w:r>
        <w:rPr>
          <w:spacing w:val="7"/>
        </w:rPr>
        <w:t>通通</w:t>
      </w:r>
      <w:r>
        <w:rPr>
          <w:rFonts w:ascii="Times New Roman" w:hAnsi="Times New Roman" w:eastAsia="Times New Roman" w:cs="Times New Roman"/>
          <w:spacing w:val="7"/>
        </w:rPr>
        <w:t>”</w:t>
      </w:r>
      <w:r>
        <w:rPr>
          <w:spacing w:val="7"/>
        </w:rPr>
        <w:t>的艺术特点，创造出多层次的镂空效</w:t>
      </w:r>
      <w:r>
        <w:rPr>
          <w:spacing w:val="6"/>
        </w:rPr>
        <w:t>果。</w:t>
      </w:r>
    </w:p>
    <w:p>
      <w:pPr>
        <w:pStyle w:val="BodyText"/>
        <w:ind w:left="34" w:right="122" w:firstLine="625"/>
        <w:spacing w:before="194" w:line="277" w:lineRule="auto"/>
        <w:rPr/>
      </w:pPr>
      <w:r>
        <w:rPr>
          <w:spacing w:val="13"/>
        </w:rPr>
        <w:t>（</w:t>
      </w:r>
      <w:r>
        <w:rPr>
          <w:rFonts w:ascii="Times New Roman" w:hAnsi="Times New Roman" w:eastAsia="Times New Roman" w:cs="Times New Roman"/>
          <w:spacing w:val="13"/>
        </w:rPr>
        <w:t>4</w:t>
      </w:r>
      <w:r>
        <w:rPr>
          <w:spacing w:val="13"/>
        </w:rPr>
        <w:t>）打磨。顺木纹走向或逆木纹走向打磨，去除刀刻</w:t>
      </w:r>
      <w:r>
        <w:rPr>
          <w:spacing w:val="2"/>
        </w:rPr>
        <w:t>痕迹，使表面平滑细腻。</w:t>
      </w:r>
    </w:p>
    <w:p>
      <w:pPr>
        <w:pStyle w:val="BodyText"/>
        <w:ind w:left="659"/>
        <w:spacing w:before="188" w:line="236" w:lineRule="auto"/>
        <w:rPr/>
      </w:pPr>
      <w:r>
        <w:rPr>
          <w:spacing w:val="6"/>
        </w:rPr>
        <w:t>（</w:t>
      </w:r>
      <w:r>
        <w:rPr>
          <w:rFonts w:ascii="Times New Roman" w:hAnsi="Times New Roman" w:eastAsia="Times New Roman" w:cs="Times New Roman"/>
          <w:spacing w:val="6"/>
        </w:rPr>
        <w:t>5</w:t>
      </w:r>
      <w:r>
        <w:rPr>
          <w:spacing w:val="6"/>
        </w:rPr>
        <w:t>）精雕。深入内层刻画，加工细节部分的刻画。</w:t>
      </w:r>
    </w:p>
    <w:p>
      <w:pPr>
        <w:pStyle w:val="BodyText"/>
        <w:ind w:left="661"/>
        <w:spacing w:before="165" w:line="234" w:lineRule="auto"/>
        <w:rPr/>
      </w:pPr>
      <w:r>
        <w:rPr>
          <w:rFonts w:ascii="Times New Roman" w:hAnsi="Times New Roman" w:eastAsia="Times New Roman" w:cs="Times New Roman"/>
          <w:spacing w:val="-1"/>
        </w:rPr>
        <w:t>2.  </w:t>
      </w:r>
      <w:r>
        <w:rPr>
          <w:spacing w:val="-1"/>
        </w:rPr>
        <w:t>贴金装饰。</w:t>
      </w:r>
    </w:p>
    <w:p>
      <w:pPr>
        <w:pStyle w:val="BodyText"/>
        <w:ind w:left="677"/>
        <w:spacing w:before="166" w:line="234" w:lineRule="auto"/>
        <w:rPr/>
      </w:pPr>
      <w:r>
        <w:rPr>
          <w:spacing w:val="2"/>
        </w:rPr>
        <w:t>制漆</w:t>
      </w:r>
      <w:r>
        <w:rPr>
          <w:rFonts w:ascii="Times New Roman" w:hAnsi="Times New Roman" w:eastAsia="Times New Roman" w:cs="Times New Roman"/>
          <w:spacing w:val="2"/>
        </w:rPr>
        <w:t>→</w:t>
      </w:r>
      <w:r>
        <w:rPr>
          <w:rFonts w:ascii="Times New Roman" w:hAnsi="Times New Roman" w:eastAsia="Times New Roman" w:cs="Times New Roman"/>
          <w:spacing w:val="-44"/>
        </w:rPr>
        <w:t xml:space="preserve"> </w:t>
      </w:r>
      <w:r>
        <w:rPr>
          <w:spacing w:val="2"/>
        </w:rPr>
        <w:t>滤漆</w:t>
      </w:r>
      <w:r>
        <w:rPr>
          <w:rFonts w:ascii="Times New Roman" w:hAnsi="Times New Roman" w:eastAsia="Times New Roman" w:cs="Times New Roman"/>
          <w:spacing w:val="2"/>
        </w:rPr>
        <w:t>→</w:t>
      </w:r>
      <w:r>
        <w:rPr>
          <w:spacing w:val="2"/>
        </w:rPr>
        <w:t>填料</w:t>
      </w:r>
      <w:r>
        <w:rPr>
          <w:rFonts w:ascii="Times New Roman" w:hAnsi="Times New Roman" w:eastAsia="Times New Roman" w:cs="Times New Roman"/>
          <w:spacing w:val="2"/>
        </w:rPr>
        <w:t>→</w:t>
      </w:r>
      <w:r>
        <w:rPr>
          <w:rFonts w:ascii="Times New Roman" w:hAnsi="Times New Roman" w:eastAsia="Times New Roman" w:cs="Times New Roman"/>
          <w:spacing w:val="-58"/>
        </w:rPr>
        <w:t xml:space="preserve"> </w:t>
      </w:r>
      <w:r>
        <w:rPr>
          <w:spacing w:val="2"/>
        </w:rPr>
        <w:t>上漆</w:t>
      </w:r>
      <w:r>
        <w:rPr>
          <w:rFonts w:ascii="Times New Roman" w:hAnsi="Times New Roman" w:eastAsia="Times New Roman" w:cs="Times New Roman"/>
          <w:spacing w:val="2"/>
        </w:rPr>
        <w:t>→</w:t>
      </w:r>
      <w:r>
        <w:rPr>
          <w:rFonts w:ascii="Times New Roman" w:hAnsi="Times New Roman" w:eastAsia="Times New Roman" w:cs="Times New Roman"/>
          <w:spacing w:val="-57"/>
        </w:rPr>
        <w:t xml:space="preserve"> </w:t>
      </w:r>
      <w:r>
        <w:rPr>
          <w:spacing w:val="2"/>
        </w:rPr>
        <w:t>荫干</w:t>
      </w:r>
      <w:r>
        <w:rPr>
          <w:rFonts w:ascii="Times New Roman" w:hAnsi="Times New Roman" w:eastAsia="Times New Roman" w:cs="Times New Roman"/>
          <w:spacing w:val="2"/>
        </w:rPr>
        <w:t>→</w:t>
      </w:r>
      <w:r>
        <w:rPr>
          <w:spacing w:val="2"/>
        </w:rPr>
        <w:t>贴金。</w:t>
      </w:r>
    </w:p>
    <w:p>
      <w:pPr>
        <w:pStyle w:val="BodyText"/>
        <w:ind w:left="659"/>
        <w:spacing w:before="166" w:line="234" w:lineRule="auto"/>
        <w:rPr/>
      </w:pPr>
      <w:r>
        <w:rPr>
          <w:spacing w:val="8"/>
        </w:rPr>
        <w:t>（</w:t>
      </w:r>
      <w:r>
        <w:rPr>
          <w:rFonts w:ascii="Times New Roman" w:hAnsi="Times New Roman" w:eastAsia="Times New Roman" w:cs="Times New Roman"/>
          <w:spacing w:val="8"/>
        </w:rPr>
        <w:t>1</w:t>
      </w:r>
      <w:r>
        <w:rPr>
          <w:spacing w:val="8"/>
        </w:rPr>
        <w:t>）制漆。将生漆与桐油按比例制成熟漆。</w:t>
      </w:r>
    </w:p>
    <w:p>
      <w:pPr>
        <w:pStyle w:val="BodyText"/>
        <w:ind w:left="659"/>
        <w:spacing w:before="169" w:line="234" w:lineRule="auto"/>
        <w:rPr/>
      </w:pPr>
      <w:r>
        <w:rPr>
          <w:spacing w:val="5"/>
        </w:rPr>
        <w:t>（</w:t>
      </w:r>
      <w:r>
        <w:rPr>
          <w:rFonts w:ascii="Times New Roman" w:hAnsi="Times New Roman" w:eastAsia="Times New Roman" w:cs="Times New Roman"/>
          <w:spacing w:val="5"/>
        </w:rPr>
        <w:t>2</w:t>
      </w:r>
      <w:r>
        <w:rPr>
          <w:spacing w:val="5"/>
        </w:rPr>
        <w:t>）滤漆。过滤熟漆中的杂质。</w:t>
      </w:r>
    </w:p>
    <w:p>
      <w:pPr>
        <w:pStyle w:val="BodyText"/>
        <w:ind w:left="30" w:right="106" w:firstLine="629"/>
        <w:spacing w:before="168" w:line="276" w:lineRule="auto"/>
        <w:rPr/>
      </w:pPr>
      <w:r>
        <w:rPr>
          <w:spacing w:val="10"/>
        </w:rPr>
        <w:t>（</w:t>
      </w:r>
      <w:r>
        <w:rPr>
          <w:rFonts w:ascii="Times New Roman" w:hAnsi="Times New Roman" w:eastAsia="Times New Roman" w:cs="Times New Roman"/>
          <w:spacing w:val="10"/>
        </w:rPr>
        <w:t>3 </w:t>
      </w:r>
      <w:r>
        <w:rPr>
          <w:spacing w:val="10"/>
        </w:rPr>
        <w:t>）填料。用生漆调和成漆灰填补作品缺陷处，待干</w:t>
      </w:r>
      <w:r>
        <w:rPr>
          <w:spacing w:val="-1"/>
        </w:rPr>
        <w:t>后打磨修整。</w:t>
      </w:r>
    </w:p>
    <w:p>
      <w:pPr>
        <w:pStyle w:val="BodyText"/>
        <w:ind w:left="659"/>
        <w:spacing w:before="191" w:line="236" w:lineRule="auto"/>
        <w:rPr/>
      </w:pPr>
      <w:r>
        <w:rPr>
          <w:spacing w:val="8"/>
        </w:rPr>
        <w:t>（</w:t>
      </w:r>
      <w:r>
        <w:rPr>
          <w:rFonts w:ascii="Times New Roman" w:hAnsi="Times New Roman" w:eastAsia="Times New Roman" w:cs="Times New Roman"/>
          <w:spacing w:val="8"/>
        </w:rPr>
        <w:t>4</w:t>
      </w:r>
      <w:r>
        <w:rPr>
          <w:spacing w:val="8"/>
        </w:rPr>
        <w:t>）上漆。髹一层底漆，使木雕表面光滑。</w:t>
      </w:r>
    </w:p>
    <w:p>
      <w:pPr>
        <w:pStyle w:val="BodyText"/>
        <w:ind w:left="24" w:right="109" w:firstLine="635"/>
        <w:spacing w:before="164" w:line="284" w:lineRule="auto"/>
        <w:rPr/>
      </w:pPr>
      <w:r>
        <w:rPr>
          <w:spacing w:val="14"/>
        </w:rPr>
        <w:t>（</w:t>
      </w:r>
      <w:r>
        <w:rPr>
          <w:rFonts w:ascii="Times New Roman" w:hAnsi="Times New Roman" w:eastAsia="Times New Roman" w:cs="Times New Roman"/>
          <w:spacing w:val="14"/>
        </w:rPr>
        <w:t>5</w:t>
      </w:r>
      <w:r>
        <w:rPr>
          <w:spacing w:val="14"/>
        </w:rPr>
        <w:t>）荫干。将上漆后的木雕放入阴湿环境中荫干，等</w:t>
      </w:r>
      <w:r>
        <w:rPr>
          <w:spacing w:val="-1"/>
        </w:rPr>
        <w:t>待贴金最佳时机。控制温度</w:t>
      </w:r>
      <w:r>
        <w:rPr>
          <w:rFonts w:ascii="Times New Roman" w:hAnsi="Times New Roman" w:eastAsia="Times New Roman" w:cs="Times New Roman"/>
          <w:spacing w:val="-1"/>
        </w:rPr>
        <w:t>20</w:t>
      </w:r>
      <w:r>
        <w:rPr>
          <w:spacing w:val="-1"/>
        </w:rPr>
        <w:t>～</w:t>
      </w:r>
      <w:r>
        <w:rPr>
          <w:rFonts w:ascii="Times New Roman" w:hAnsi="Times New Roman" w:eastAsia="Times New Roman" w:cs="Times New Roman"/>
          <w:spacing w:val="-1"/>
        </w:rPr>
        <w:t>25</w:t>
      </w:r>
      <w:r>
        <w:rPr>
          <w:rFonts w:ascii="SimSun" w:hAnsi="SimSun" w:eastAsia="SimSun" w:cs="SimSun"/>
          <w:spacing w:val="-1"/>
        </w:rPr>
        <w:t>℃</w:t>
      </w:r>
      <w:r>
        <w:rPr>
          <w:spacing w:val="-1"/>
        </w:rPr>
        <w:t>、湿度</w:t>
      </w:r>
      <w:r>
        <w:rPr>
          <w:rFonts w:ascii="Times New Roman" w:hAnsi="Times New Roman" w:eastAsia="Times New Roman" w:cs="Times New Roman"/>
          <w:spacing w:val="-1"/>
        </w:rPr>
        <w:t>60%</w:t>
      </w:r>
      <w:r>
        <w:rPr>
          <w:spacing w:val="-1"/>
        </w:rPr>
        <w:t>～</w:t>
      </w:r>
      <w:r>
        <w:rPr>
          <w:rFonts w:ascii="Times New Roman" w:hAnsi="Times New Roman" w:eastAsia="Times New Roman" w:cs="Times New Roman"/>
          <w:spacing w:val="-1"/>
        </w:rPr>
        <w:t>70%</w:t>
      </w:r>
      <w:r>
        <w:rPr>
          <w:spacing w:val="-1"/>
        </w:rPr>
        <w:t>为宜。</w:t>
      </w:r>
    </w:p>
    <w:p>
      <w:pPr>
        <w:pStyle w:val="BodyText"/>
        <w:ind w:left="659"/>
        <w:spacing w:before="167" w:line="234" w:lineRule="auto"/>
        <w:rPr/>
      </w:pPr>
      <w:r>
        <w:rPr>
          <w:spacing w:val="6"/>
        </w:rPr>
        <w:t>（</w:t>
      </w:r>
      <w:r>
        <w:rPr>
          <w:rFonts w:ascii="Times New Roman" w:hAnsi="Times New Roman" w:eastAsia="Times New Roman" w:cs="Times New Roman"/>
          <w:spacing w:val="6"/>
        </w:rPr>
        <w:t>6</w:t>
      </w:r>
      <w:r>
        <w:rPr>
          <w:spacing w:val="6"/>
        </w:rPr>
        <w:t>）贴金。用刷子将金箔轻贴于木雕上。</w:t>
      </w:r>
    </w:p>
    <w:p>
      <w:pPr>
        <w:ind w:left="693"/>
        <w:spacing w:before="167" w:line="225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</w:rPr>
        <w:t>（三）质量特色</w:t>
      </w:r>
    </w:p>
    <w:p>
      <w:pPr>
        <w:pStyle w:val="BodyText"/>
        <w:ind w:left="19" w:firstLine="672"/>
        <w:spacing w:before="185" w:line="330" w:lineRule="auto"/>
        <w:jc w:val="both"/>
        <w:rPr/>
      </w:pPr>
      <w:r>
        <w:rPr>
          <w:rFonts w:ascii="Times New Roman" w:hAnsi="Times New Roman" w:eastAsia="Times New Roman" w:cs="Times New Roman"/>
          <w:spacing w:val="4"/>
        </w:rPr>
        <w:t>1.  </w:t>
      </w:r>
      <w:r>
        <w:rPr>
          <w:spacing w:val="4"/>
        </w:rPr>
        <w:t>感官特色。主件为整体雕刻，以多层镂通雕为核心技</w:t>
      </w:r>
      <w:r>
        <w:rPr>
          <w:spacing w:val="5"/>
        </w:rPr>
        <w:t>法，物像交错穿插，富有立体感，</w:t>
      </w:r>
      <w:r>
        <w:rPr>
          <w:spacing w:val="-50"/>
        </w:rPr>
        <w:t xml:space="preserve"> </w:t>
      </w:r>
      <w:r>
        <w:rPr>
          <w:spacing w:val="5"/>
        </w:rPr>
        <w:t>繁而不乱。板雕不少于</w:t>
      </w:r>
      <w:r>
        <w:rPr>
          <w:spacing w:val="5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8</w:t>
      </w:r>
      <w:r>
        <w:rPr>
          <w:spacing w:val="8"/>
        </w:rPr>
        <w:t>层镂空，立体镂空雕不少于</w:t>
      </w:r>
      <w:r>
        <w:rPr>
          <w:spacing w:val="8"/>
        </w:rPr>
        <w:t xml:space="preserve"> </w:t>
      </w:r>
      <w:r>
        <w:rPr>
          <w:rFonts w:ascii="Times New Roman" w:hAnsi="Times New Roman" w:eastAsia="Times New Roman" w:cs="Times New Roman"/>
          <w:spacing w:val="8"/>
        </w:rPr>
        <w:t>20  </w:t>
      </w:r>
      <w:r>
        <w:rPr>
          <w:spacing w:val="8"/>
        </w:rPr>
        <w:t>层镂空。题材以反映潮州本</w:t>
      </w:r>
      <w:r>
        <w:rPr>
          <w:spacing w:val="12"/>
        </w:rPr>
        <w:t>地场景、民间传说、历史典故、戏曲故事等吉祥图案为主，</w:t>
      </w:r>
      <w:r>
        <w:rPr>
          <w:spacing w:val="9"/>
        </w:rPr>
        <w:t>体现潮州传统文化与民俗。木雕雕刻面平整光滑，具有金漆</w:t>
      </w:r>
    </w:p>
    <w:p>
      <w:pPr>
        <w:spacing w:line="330" w:lineRule="auto"/>
        <w:sectPr>
          <w:pgSz w:w="11907" w:h="16839"/>
          <w:pgMar w:top="1431" w:right="1723" w:bottom="0" w:left="1785" w:header="0" w:footer="0" w:gutter="0"/>
        </w:sectPr>
        <w:rPr/>
      </w:pPr>
    </w:p>
    <w:p>
      <w:pPr>
        <w:pStyle w:val="BodyText"/>
        <w:ind w:left="39" w:hanging="3"/>
        <w:spacing w:before="183" w:line="323" w:lineRule="auto"/>
        <w:rPr/>
      </w:pPr>
      <w:r>
        <w:rPr>
          <w:spacing w:val="4"/>
        </w:rPr>
        <w:t>光泽，呈现黄金质感，漆膜厚度为</w:t>
      </w:r>
      <w:r>
        <w:rPr>
          <w:spacing w:val="4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>0.1</w:t>
      </w:r>
      <w:r>
        <w:rPr>
          <w:spacing w:val="4"/>
        </w:rPr>
        <w:t>～</w:t>
      </w:r>
      <w:r>
        <w:rPr>
          <w:rFonts w:ascii="Times New Roman" w:hAnsi="Times New Roman" w:eastAsia="Times New Roman" w:cs="Times New Roman"/>
          <w:spacing w:val="4"/>
        </w:rPr>
        <w:t>0.6</w:t>
      </w:r>
      <w:r>
        <w:rPr>
          <w:rFonts w:ascii="Times New Roman" w:hAnsi="Times New Roman" w:eastAsia="Times New Roman" w:cs="Times New Roman"/>
        </w:rPr>
        <w:t>mm</w:t>
      </w:r>
      <w:r>
        <w:rPr>
          <w:spacing w:val="4"/>
        </w:rPr>
        <w:t>、无凹凸感，</w:t>
      </w:r>
      <w:r>
        <w:rPr>
          <w:spacing w:val="6"/>
        </w:rPr>
        <w:t>手感温润如玉，具有樟木和生漆的淡雅清香。</w:t>
      </w:r>
    </w:p>
    <w:p>
      <w:pPr>
        <w:pStyle w:val="BodyText"/>
        <w:ind w:left="30" w:right="83" w:firstLine="631"/>
        <w:spacing w:before="35" w:line="325" w:lineRule="auto"/>
        <w:rPr/>
      </w:pPr>
      <w:r>
        <w:rPr>
          <w:rFonts w:ascii="Times New Roman" w:hAnsi="Times New Roman" w:eastAsia="Times New Roman" w:cs="Times New Roman"/>
          <w:spacing w:val="5"/>
        </w:rPr>
        <w:t>2.  </w:t>
      </w:r>
      <w:r>
        <w:rPr>
          <w:spacing w:val="5"/>
        </w:rPr>
        <w:t>安全及其他质量要求。产品安全及其他质量要求应符</w:t>
      </w:r>
      <w:r>
        <w:rPr>
          <w:spacing w:val="2"/>
        </w:rPr>
        <w:t>合国家相关规定。</w:t>
      </w:r>
    </w:p>
    <w:p>
      <w:pPr>
        <w:ind w:left="676"/>
        <w:spacing w:before="28" w:line="224" w:lineRule="auto"/>
        <w:outlineLvl w:val="1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7"/>
        </w:rPr>
        <w:t>五、专用标志使用管理</w:t>
      </w:r>
    </w:p>
    <w:p>
      <w:pPr>
        <w:pStyle w:val="BodyText"/>
        <w:ind w:left="23" w:right="83" w:firstLine="658"/>
        <w:spacing w:before="185" w:line="333" w:lineRule="auto"/>
        <w:jc w:val="both"/>
        <w:rPr/>
      </w:pPr>
      <w:r>
        <w:rPr>
          <w:spacing w:val="8"/>
        </w:rPr>
        <w:t>潮州木雕产地范围内的生产者，可向广东省潮州市知识</w:t>
      </w:r>
      <w:r>
        <w:rPr>
          <w:spacing w:val="10"/>
        </w:rPr>
        <w:t>产权管理部门提出使用</w:t>
      </w:r>
      <w:r>
        <w:rPr>
          <w:rFonts w:ascii="Times New Roman" w:hAnsi="Times New Roman" w:eastAsia="Times New Roman" w:cs="Times New Roman"/>
          <w:spacing w:val="10"/>
        </w:rPr>
        <w:t>“</w:t>
      </w:r>
      <w:r>
        <w:rPr>
          <w:spacing w:val="10"/>
        </w:rPr>
        <w:t>地理标志专用标志</w:t>
      </w:r>
      <w:r>
        <w:rPr>
          <w:rFonts w:ascii="Times New Roman" w:hAnsi="Times New Roman" w:eastAsia="Times New Roman" w:cs="Times New Roman"/>
          <w:spacing w:val="10"/>
        </w:rPr>
        <w:t>”</w:t>
      </w:r>
      <w:r>
        <w:rPr>
          <w:spacing w:val="10"/>
        </w:rPr>
        <w:t>的申请，经广东</w:t>
      </w:r>
      <w:r>
        <w:rPr>
          <w:spacing w:val="9"/>
        </w:rPr>
        <w:t>省知识产权局审核，报国家知识产权局核准后予以公告。潮</w:t>
      </w:r>
      <w:r>
        <w:rPr>
          <w:spacing w:val="21"/>
        </w:rPr>
        <w:t>州木雕的检测机构由广东省知识产权局在符合资质要求的</w:t>
      </w:r>
      <w:r>
        <w:rPr/>
        <w:t>检测机构中选定。</w:t>
      </w:r>
    </w:p>
    <w:sectPr>
      <w:pgSz w:w="11907" w:h="16839"/>
      <w:pgMar w:top="1431" w:right="1717" w:bottom="0" w:left="1785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ZXiaoBiaoSong-B05S">
    <w:panose1 w:val="02010601030101010101"/>
    <w:charset w:val="86"/>
    <w:family w:val="auto"/>
    <w:pitch w:val="variable"/>
    <w:sig w:usb0="00000001" w:usb1="080E0000" w:usb2="00000000" w:usb3="00000000" w:csb0="00040000" w:csb1="00000000"/>
  </w:font>
  <w:font w:name="FangSong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aiT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FangSong_GB2312" w:hAnsi="FangSong_GB2312" w:eastAsia="FangSong_GB2312" w:cs="FangSong_GB2312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settings" Target="settings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Microsoft® Office Word 2007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zhaojing</dc:creator>
  <dcterms:created xsi:type="dcterms:W3CDTF">2025-10-27T09:44:24Z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2025-10-27T13:45:12</vt:filetime>
  </property>
</Properties>
</file>